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00" w:rsidRPr="0025031C" w:rsidRDefault="00145500" w:rsidP="00145500">
      <w:pPr>
        <w:pStyle w:val="2"/>
        <w:shd w:val="clear" w:color="auto" w:fill="FFFFFF"/>
        <w:jc w:val="center"/>
        <w:rPr>
          <w:caps/>
          <w:color w:val="000000"/>
          <w:sz w:val="24"/>
          <w:szCs w:val="24"/>
        </w:rPr>
      </w:pPr>
      <w:bookmarkStart w:id="0" w:name="_GoBack"/>
      <w:r w:rsidRPr="0025031C">
        <w:rPr>
          <w:caps/>
          <w:color w:val="000000"/>
          <w:sz w:val="24"/>
          <w:szCs w:val="24"/>
        </w:rPr>
        <w:t>ПОСТАНОВА</w:t>
      </w:r>
      <w:r w:rsidRPr="0025031C">
        <w:rPr>
          <w:caps/>
          <w:color w:val="000000"/>
          <w:sz w:val="24"/>
          <w:szCs w:val="24"/>
        </w:rPr>
        <w:br/>
      </w:r>
      <w:r w:rsidRPr="0025031C">
        <w:rPr>
          <w:rStyle w:val="lowercase"/>
          <w:color w:val="000000"/>
          <w:sz w:val="24"/>
          <w:szCs w:val="24"/>
        </w:rPr>
        <w:t>від 31 березня 2015 р. № 160</w:t>
      </w:r>
      <w:r w:rsidRPr="0025031C">
        <w:rPr>
          <w:caps/>
          <w:color w:val="000000"/>
          <w:sz w:val="24"/>
          <w:szCs w:val="24"/>
        </w:rPr>
        <w:br/>
        <w:t>ПРО ЗАТВЕРДЖЕННЯ ПОРЯДКУ ЗАБЕЗПЕЧЕННЯ ГРОМАДЯН, ЯКІ СТРАЖДАЮТЬ НА РІДКІСНІ (ОРФАННІ) ЗАХВОРЮВАННЯ, ЛІКАРСЬКИМИ ЗАСОБАМИ ТА ВІДПОВІДНИМИ ХАРЧОВИМИ ПРОДУКТАМИ ДЛЯ СПЕЦІАЛЬНОГО ДІЄТИЧНОГО СПОЖИВАННЯ</w:t>
      </w:r>
    </w:p>
    <w:bookmarkEnd w:id="0"/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Відповідно до частини другої статті 53</w:t>
      </w:r>
      <w:r w:rsidRPr="0025031C">
        <w:rPr>
          <w:color w:val="000000"/>
          <w:vertAlign w:val="superscript"/>
        </w:rPr>
        <w:t>1</w:t>
      </w:r>
      <w:r w:rsidRPr="0025031C">
        <w:rPr>
          <w:color w:val="000000"/>
        </w:rPr>
        <w:t> </w:t>
      </w:r>
      <w:hyperlink r:id="rId5" w:tgtFrame="_blank" w:history="1">
        <w:r w:rsidRPr="0025031C">
          <w:rPr>
            <w:rStyle w:val="a4"/>
            <w:color w:val="C51E26"/>
          </w:rPr>
          <w:t>Основ законодавства України про охорону здоров’я</w:t>
        </w:r>
        <w:r w:rsidRPr="0025031C">
          <w:rPr>
            <w:rStyle w:val="apple-converted-space"/>
            <w:color w:val="C51E26"/>
          </w:rPr>
          <w:t> </w:t>
        </w:r>
      </w:hyperlink>
      <w:r w:rsidRPr="0025031C">
        <w:rPr>
          <w:color w:val="000000"/>
        </w:rPr>
        <w:t>Кабінет Міністрів України </w:t>
      </w:r>
      <w:r w:rsidRPr="0025031C">
        <w:rPr>
          <w:rStyle w:val="bold"/>
          <w:b/>
          <w:bCs/>
          <w:color w:val="000000"/>
        </w:rPr>
        <w:t>постановляє</w:t>
      </w:r>
      <w:r w:rsidRPr="0025031C">
        <w:rPr>
          <w:color w:val="000000"/>
        </w:rPr>
        <w:t>: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1. Затвердити Порядок забезпечення громадян, які страждають на рідкісні (</w:t>
      </w:r>
      <w:proofErr w:type="spellStart"/>
      <w:r w:rsidRPr="0025031C">
        <w:rPr>
          <w:color w:val="000000"/>
        </w:rPr>
        <w:t>орфанні</w:t>
      </w:r>
      <w:proofErr w:type="spellEnd"/>
      <w:r w:rsidRPr="0025031C">
        <w:rPr>
          <w:color w:val="000000"/>
        </w:rPr>
        <w:t>) захворювання, лікарськими засобами та відповідними харчовими продуктами для спеціального дієтичного споживання, що додається.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2. Міністерству охорони здоров’я разом з Міністерством фінансів під час підготовки проекту Закону про Державний бюджет України на відповідний рік передбачати видатки на здійснення заходів щодо безперебійного і безоплатного забезпечення громадян, які страждають на рідкісні (</w:t>
      </w:r>
      <w:proofErr w:type="spellStart"/>
      <w:r w:rsidRPr="0025031C">
        <w:rPr>
          <w:color w:val="000000"/>
        </w:rPr>
        <w:t>орфанні</w:t>
      </w:r>
      <w:proofErr w:type="spellEnd"/>
      <w:r w:rsidRPr="0025031C">
        <w:rPr>
          <w:color w:val="000000"/>
        </w:rPr>
        <w:t>) захворювання, лікарськими засобами та відповідними харчовими продуктами для спеціального дієтичного споживання з урахуванням фінансових можливостей державного бюджету.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3. Обласним та Київській міській державним адміністраціям:</w:t>
      </w:r>
    </w:p>
    <w:p w:rsidR="00145500" w:rsidRPr="0025031C" w:rsidRDefault="00145500" w:rsidP="00145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31C">
        <w:rPr>
          <w:rFonts w:ascii="Times New Roman" w:hAnsi="Times New Roman" w:cs="Times New Roman"/>
          <w:color w:val="000000"/>
          <w:sz w:val="24"/>
          <w:szCs w:val="24"/>
        </w:rPr>
        <w:t>у шестимісячний строк розробити та затвердити заходи щодо забезпечення громадян, які страждають на рідкісні (</w:t>
      </w:r>
      <w:proofErr w:type="spellStart"/>
      <w:r w:rsidRPr="0025031C">
        <w:rPr>
          <w:rFonts w:ascii="Times New Roman" w:hAnsi="Times New Roman" w:cs="Times New Roman"/>
          <w:color w:val="000000"/>
          <w:sz w:val="24"/>
          <w:szCs w:val="24"/>
        </w:rPr>
        <w:t>орфанні</w:t>
      </w:r>
      <w:proofErr w:type="spellEnd"/>
      <w:r w:rsidRPr="0025031C">
        <w:rPr>
          <w:rFonts w:ascii="Times New Roman" w:hAnsi="Times New Roman" w:cs="Times New Roman"/>
          <w:color w:val="000000"/>
          <w:sz w:val="24"/>
          <w:szCs w:val="24"/>
        </w:rPr>
        <w:t>) захворювання, лікарськими засобами та відповідними харчовими продуктами для спеціального дієтичного споживання, що закуповуються за рахунок коштів місцевого бюджету;</w:t>
      </w:r>
    </w:p>
    <w:p w:rsidR="00145500" w:rsidRPr="0025031C" w:rsidRDefault="00145500" w:rsidP="00145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31C">
        <w:rPr>
          <w:rFonts w:ascii="Times New Roman" w:hAnsi="Times New Roman" w:cs="Times New Roman"/>
          <w:color w:val="000000"/>
          <w:sz w:val="24"/>
          <w:szCs w:val="24"/>
        </w:rPr>
        <w:t>під час підготовки проектів місцевих бюджетів передбачати видатки на фінансування зазначених заходів з урахуванням фінансових можливостей бюджетів.</w:t>
      </w:r>
    </w:p>
    <w:tbl>
      <w:tblPr>
        <w:tblW w:w="9900" w:type="dxa"/>
        <w:tblCellSpacing w:w="15" w:type="dxa"/>
        <w:tblBorders>
          <w:bottom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2928"/>
      </w:tblGrid>
      <w:tr w:rsidR="00145500" w:rsidRPr="0025031C" w:rsidTr="001455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5500" w:rsidRPr="0025031C" w:rsidRDefault="001455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31C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Прем’єр-міністр України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45500" w:rsidRPr="0025031C" w:rsidRDefault="001455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31C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А. Яценюк</w:t>
            </w:r>
          </w:p>
        </w:tc>
      </w:tr>
    </w:tbl>
    <w:p w:rsidR="00145500" w:rsidRPr="0025031C" w:rsidRDefault="00145500" w:rsidP="00145500">
      <w:pPr>
        <w:pStyle w:val="a5"/>
        <w:shd w:val="clear" w:color="auto" w:fill="FFFFFF"/>
        <w:jc w:val="right"/>
        <w:rPr>
          <w:color w:val="000000"/>
        </w:rPr>
      </w:pPr>
      <w:r w:rsidRPr="0025031C">
        <w:rPr>
          <w:color w:val="000000"/>
        </w:rPr>
        <w:t>ЗАТВЕРДЖЕНО</w:t>
      </w:r>
      <w:r w:rsidRPr="0025031C">
        <w:rPr>
          <w:color w:val="000000"/>
        </w:rPr>
        <w:br/>
        <w:t>постановою Кабінету Міністрів України</w:t>
      </w:r>
      <w:r w:rsidRPr="0025031C">
        <w:rPr>
          <w:color w:val="000000"/>
        </w:rPr>
        <w:br/>
        <w:t>від 31 березня 2015 р. № 160</w:t>
      </w:r>
    </w:p>
    <w:p w:rsidR="00145500" w:rsidRPr="0025031C" w:rsidRDefault="00145500" w:rsidP="00145500">
      <w:pPr>
        <w:pStyle w:val="2"/>
        <w:shd w:val="clear" w:color="auto" w:fill="FFFFFF"/>
        <w:jc w:val="center"/>
        <w:rPr>
          <w:caps/>
          <w:color w:val="000000"/>
          <w:sz w:val="24"/>
          <w:szCs w:val="24"/>
        </w:rPr>
      </w:pPr>
      <w:r w:rsidRPr="0025031C">
        <w:rPr>
          <w:caps/>
          <w:color w:val="000000"/>
          <w:sz w:val="24"/>
          <w:szCs w:val="24"/>
        </w:rPr>
        <w:t>ПОРЯДОК</w:t>
      </w:r>
      <w:r w:rsidRPr="0025031C">
        <w:rPr>
          <w:caps/>
          <w:color w:val="000000"/>
          <w:sz w:val="24"/>
          <w:szCs w:val="24"/>
        </w:rPr>
        <w:br/>
        <w:t>ЗАБЕЗПЕЧЕННЯ ГРОМАДЯН, ЯКІ СТРАЖДАЮТЬ НА РІДКІСНІ (ОРФАННІ) ЗАХВОРЮВАННЯ, ЛІКАРСЬКИМИ ЗАСОБАМИ ТА ВІДПОВІДНИМИ ХАРЧОВИМИ ПРОДУКТАМИ ДЛЯ СПЕЦІАЛЬНОГО ДІЄТИЧНОГО СПОЖИВАННЯ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1. Цей Порядок визначає механізм безперебійного і безоплатного забезпечення громадян, які страждають на рідкісні (</w:t>
      </w:r>
      <w:proofErr w:type="spellStart"/>
      <w:r w:rsidRPr="0025031C">
        <w:rPr>
          <w:color w:val="000000"/>
        </w:rPr>
        <w:t>орфанні</w:t>
      </w:r>
      <w:proofErr w:type="spellEnd"/>
      <w:r w:rsidRPr="0025031C">
        <w:rPr>
          <w:color w:val="000000"/>
        </w:rPr>
        <w:t>) захворювання, лікарськими засобами та відповідними харчовими продуктами для спеціального дієтичного споживання, що закуповуються за рахунок коштів державного, місцевих бюджетів, а також інших джерел, не заборонених законодавством, у тому числі гуманітарної допомоги.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2. Громадяни, які страждають на рідкісні (</w:t>
      </w:r>
      <w:proofErr w:type="spellStart"/>
      <w:r w:rsidRPr="0025031C">
        <w:rPr>
          <w:color w:val="000000"/>
        </w:rPr>
        <w:t>орфанні</w:t>
      </w:r>
      <w:proofErr w:type="spellEnd"/>
      <w:r w:rsidRPr="0025031C">
        <w:rPr>
          <w:color w:val="000000"/>
        </w:rPr>
        <w:t>) захворювання, забезпечуються лікарськими засобами та відповідними харчовими продуктами для спеціального дієтичного споживання (далі — лікарські засоби та харчові продукти) відповідно до медичних показань.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lastRenderedPageBreak/>
        <w:t>3. Прийняття рішення щодо необхідності у забезпеченні, продовженні або припиненні забезпечення громадян, які страждають на рідкісні (</w:t>
      </w:r>
      <w:proofErr w:type="spellStart"/>
      <w:r w:rsidRPr="0025031C">
        <w:rPr>
          <w:color w:val="000000"/>
        </w:rPr>
        <w:t>орфанні</w:t>
      </w:r>
      <w:proofErr w:type="spellEnd"/>
      <w:r w:rsidRPr="0025031C">
        <w:rPr>
          <w:color w:val="000000"/>
        </w:rPr>
        <w:t>) захворювання, лікарськими засобами та харчовими продуктами, що закуповуються за рахунок коштів: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державного бюджету, а також інших джерел, не заборонених законодавством, у тому числі гуманітарної допомоги, здійснюється утвореною МОЗ комісією;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місцевих бюджетів а також інших джерел, не заборонених законодавством, у тому числі гуманітарної допомоги — комісіями, утвореними обласними та Київською міською держадміністраціями.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4. Забезпечення, продовження або припинення забезпечення громадян, які страждають на рідкісні (</w:t>
      </w:r>
      <w:proofErr w:type="spellStart"/>
      <w:r w:rsidRPr="0025031C">
        <w:rPr>
          <w:color w:val="000000"/>
        </w:rPr>
        <w:t>орфанні</w:t>
      </w:r>
      <w:proofErr w:type="spellEnd"/>
      <w:r w:rsidRPr="0025031C">
        <w:rPr>
          <w:color w:val="000000"/>
        </w:rPr>
        <w:t>) захворювання, лікарськими засобами та харчовими продуктами здійснюється на підставі відповідного рішення однієї із зазначених у пункті 3 цього Порядку комісії після інформування нею громадянина про таке рішення та отримання його письмової згоди, а для дітей до 14 років та осіб, які в установленому порядку визнані судом недієздатними, — згоди їх законних представників.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  <w:r w:rsidRPr="0025031C">
        <w:rPr>
          <w:color w:val="000000"/>
        </w:rPr>
        <w:t>5. Забезпечення громадян, які страждають на рідкісні (</w:t>
      </w:r>
      <w:proofErr w:type="spellStart"/>
      <w:r w:rsidRPr="0025031C">
        <w:rPr>
          <w:color w:val="000000"/>
        </w:rPr>
        <w:t>орфанні</w:t>
      </w:r>
      <w:proofErr w:type="spellEnd"/>
      <w:r w:rsidRPr="0025031C">
        <w:rPr>
          <w:color w:val="000000"/>
        </w:rPr>
        <w:t>) захворювання, лікарськими засобами та харчовими продуктами здійснюється закладами охорони здоров’я відповідного профілю за місцем проживання або лікування таких громадян.</w:t>
      </w:r>
    </w:p>
    <w:p w:rsidR="00145500" w:rsidRPr="00145500" w:rsidRDefault="00145500" w:rsidP="001455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455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Безперебійне і безоплатне забезпечення громадян, які страждають на рідкісні (</w:t>
      </w:r>
      <w:proofErr w:type="spellStart"/>
      <w:r w:rsidRPr="001455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1455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лікарськими засобами та харчовими продуктами, закупленими за рахунок коштів державного та місцевих бюджетів, здійснюється в межах бюджетних призначень.</w:t>
      </w:r>
    </w:p>
    <w:p w:rsidR="00145500" w:rsidRPr="00145500" w:rsidRDefault="00145500" w:rsidP="001455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455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Контроль за забезпеченням громадян, які страждають на рідкісні (</w:t>
      </w:r>
      <w:proofErr w:type="spellStart"/>
      <w:r w:rsidRPr="001455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1455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лікарськими засобами та харчовими продуктами здійснюється МОЗ.</w:t>
      </w:r>
    </w:p>
    <w:p w:rsidR="00145500" w:rsidRPr="00145500" w:rsidRDefault="00145500" w:rsidP="001455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455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Структурні підрозділи з питань охорони здоров’я обласних та Київської міської держадміністрацій ведуть облік лікарських засобів та харчових продуктів і щокварталу подають МОЗ звітну інформацію із зазначенням найменувань та кількості виданих лікарських засобів та харчових продуктів згідно з реєстром громадян, які страждають на рідкісні (</w:t>
      </w:r>
      <w:proofErr w:type="spellStart"/>
      <w:r w:rsidRPr="001455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1455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у визначеному Міністерством порядку.</w:t>
      </w: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</w:p>
    <w:p w:rsidR="00145500" w:rsidRPr="0025031C" w:rsidRDefault="00145500" w:rsidP="00145500">
      <w:pPr>
        <w:pStyle w:val="a5"/>
        <w:shd w:val="clear" w:color="auto" w:fill="FFFFFF"/>
        <w:jc w:val="both"/>
        <w:rPr>
          <w:color w:val="000000"/>
        </w:rPr>
      </w:pPr>
    </w:p>
    <w:p w:rsidR="00AF0EAE" w:rsidRPr="0025031C" w:rsidRDefault="00AF0EAE" w:rsidP="00145500">
      <w:pPr>
        <w:rPr>
          <w:rFonts w:ascii="Times New Roman" w:hAnsi="Times New Roman" w:cs="Times New Roman"/>
          <w:sz w:val="24"/>
          <w:szCs w:val="24"/>
        </w:rPr>
      </w:pPr>
      <w:r w:rsidRPr="002503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0EAE" w:rsidRPr="002503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7062"/>
    <w:multiLevelType w:val="multilevel"/>
    <w:tmpl w:val="465C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A6C9E"/>
    <w:multiLevelType w:val="multilevel"/>
    <w:tmpl w:val="804A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D1226"/>
    <w:multiLevelType w:val="multilevel"/>
    <w:tmpl w:val="F25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9D"/>
    <w:rsid w:val="00124111"/>
    <w:rsid w:val="00145500"/>
    <w:rsid w:val="0025031C"/>
    <w:rsid w:val="0079306C"/>
    <w:rsid w:val="00AF0EAE"/>
    <w:rsid w:val="00CA419D"/>
    <w:rsid w:val="00D231FD"/>
    <w:rsid w:val="00D27B9D"/>
    <w:rsid w:val="00E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E8F1C-D9D7-4647-8CAC-ADC66F29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EAE"/>
    <w:rPr>
      <w:i/>
      <w:iCs/>
    </w:rPr>
  </w:style>
  <w:style w:type="character" w:styleId="a4">
    <w:name w:val="Hyperlink"/>
    <w:basedOn w:val="a0"/>
    <w:uiPriority w:val="99"/>
    <w:unhideWhenUsed/>
    <w:rsid w:val="00CA41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550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lowercase">
    <w:name w:val="lowercase"/>
    <w:basedOn w:val="a0"/>
    <w:rsid w:val="00145500"/>
  </w:style>
  <w:style w:type="paragraph" w:styleId="a5">
    <w:name w:val="Normal (Web)"/>
    <w:basedOn w:val="a"/>
    <w:uiPriority w:val="99"/>
    <w:unhideWhenUsed/>
    <w:rsid w:val="0014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45500"/>
  </w:style>
  <w:style w:type="character" w:customStyle="1" w:styleId="bold">
    <w:name w:val="bold"/>
    <w:basedOn w:val="a0"/>
    <w:rsid w:val="00145500"/>
  </w:style>
  <w:style w:type="character" w:styleId="a6">
    <w:name w:val="Strong"/>
    <w:basedOn w:val="a0"/>
    <w:uiPriority w:val="22"/>
    <w:qFormat/>
    <w:rsid w:val="00145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teka.ua/article/90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2932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Marko Krasnyk</cp:lastModifiedBy>
  <cp:revision>2</cp:revision>
  <dcterms:created xsi:type="dcterms:W3CDTF">2015-05-12T08:58:00Z</dcterms:created>
  <dcterms:modified xsi:type="dcterms:W3CDTF">2015-05-12T08:58:00Z</dcterms:modified>
</cp:coreProperties>
</file>